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10" w:rsidRPr="00274CF6" w:rsidRDefault="005140B0" w:rsidP="00274CF6">
      <w:pPr>
        <w:jc w:val="center"/>
        <w:rPr>
          <w:rFonts w:ascii="Times New Roman" w:hAnsi="Times New Roman" w:cs="Times New Roman"/>
          <w:b/>
          <w:sz w:val="36"/>
          <w:szCs w:val="36"/>
        </w:rPr>
      </w:pPr>
      <w:bookmarkStart w:id="0" w:name="_GoBack"/>
      <w:bookmarkEnd w:id="0"/>
      <w:r w:rsidRPr="00274CF6">
        <w:rPr>
          <w:rFonts w:ascii="Times New Roman" w:hAnsi="Times New Roman" w:cs="Times New Roman"/>
          <w:b/>
          <w:sz w:val="36"/>
          <w:szCs w:val="36"/>
        </w:rPr>
        <w:t>Least Restrictive Environment</w:t>
      </w:r>
    </w:p>
    <w:p w:rsidR="005140B0" w:rsidRPr="00274CF6" w:rsidRDefault="005140B0" w:rsidP="00360B7A">
      <w:pPr>
        <w:jc w:val="center"/>
        <w:rPr>
          <w:rFonts w:ascii="Times New Roman" w:hAnsi="Times New Roman" w:cs="Times New Roman"/>
          <w:b/>
          <w:sz w:val="24"/>
          <w:szCs w:val="24"/>
          <w:u w:val="single"/>
        </w:rPr>
      </w:pPr>
      <w:r w:rsidRPr="00274CF6">
        <w:rPr>
          <w:rFonts w:ascii="Times New Roman" w:hAnsi="Times New Roman" w:cs="Times New Roman"/>
          <w:b/>
          <w:sz w:val="24"/>
          <w:szCs w:val="24"/>
          <w:u w:val="single"/>
        </w:rPr>
        <w:t>Legal Standard</w:t>
      </w:r>
    </w:p>
    <w:p w:rsidR="005674D7" w:rsidRPr="00274CF6" w:rsidRDefault="00360B7A" w:rsidP="005674D7">
      <w:pPr>
        <w:rPr>
          <w:rFonts w:ascii="Times New Roman" w:hAnsi="Times New Roman" w:cs="Times New Roman"/>
          <w:sz w:val="24"/>
          <w:szCs w:val="24"/>
        </w:rPr>
      </w:pPr>
      <w:r w:rsidRPr="00274CF6">
        <w:rPr>
          <w:rFonts w:ascii="Times New Roman" w:hAnsi="Times New Roman" w:cs="Times New Roman"/>
          <w:sz w:val="24"/>
          <w:szCs w:val="24"/>
        </w:rPr>
        <w:t>Under IDEA e</w:t>
      </w:r>
      <w:r w:rsidR="005674D7" w:rsidRPr="00274CF6">
        <w:rPr>
          <w:rFonts w:ascii="Times New Roman" w:hAnsi="Times New Roman" w:cs="Times New Roman"/>
          <w:sz w:val="24"/>
          <w:szCs w:val="24"/>
        </w:rPr>
        <w:t>ach public agency must ensure that:</w:t>
      </w:r>
    </w:p>
    <w:p w:rsidR="005674D7" w:rsidRPr="00274CF6" w:rsidRDefault="005674D7" w:rsidP="00274CF6">
      <w:pPr>
        <w:pStyle w:val="ListParagraph"/>
        <w:numPr>
          <w:ilvl w:val="0"/>
          <w:numId w:val="4"/>
        </w:numPr>
        <w:rPr>
          <w:rFonts w:ascii="Times New Roman" w:hAnsi="Times New Roman" w:cs="Times New Roman"/>
          <w:sz w:val="24"/>
          <w:szCs w:val="24"/>
        </w:rPr>
      </w:pPr>
      <w:r w:rsidRPr="00274CF6">
        <w:rPr>
          <w:rFonts w:ascii="Times New Roman" w:hAnsi="Times New Roman" w:cs="Times New Roman"/>
          <w:sz w:val="24"/>
          <w:szCs w:val="24"/>
        </w:rPr>
        <w:t>To the maximum extent appropriate, children with disabilities, including children in public or private institutions or other care facilities, are educated with children who are nondisabled; and</w:t>
      </w:r>
    </w:p>
    <w:p w:rsidR="005674D7" w:rsidRPr="00274CF6" w:rsidRDefault="005674D7" w:rsidP="00274CF6">
      <w:pPr>
        <w:pStyle w:val="ListParagraph"/>
        <w:numPr>
          <w:ilvl w:val="0"/>
          <w:numId w:val="4"/>
        </w:numPr>
        <w:rPr>
          <w:rFonts w:ascii="Times New Roman" w:hAnsi="Times New Roman" w:cs="Times New Roman"/>
          <w:sz w:val="24"/>
          <w:szCs w:val="24"/>
        </w:rPr>
      </w:pPr>
      <w:r w:rsidRPr="00274CF6">
        <w:rPr>
          <w:rFonts w:ascii="Times New Roman" w:hAnsi="Times New Roman" w:cs="Times New Roman"/>
          <w:sz w:val="24"/>
          <w:szCs w:val="24"/>
        </w:rPr>
        <w:t>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rsidR="005140B0" w:rsidRPr="00274CF6" w:rsidRDefault="005674D7" w:rsidP="005674D7">
      <w:pPr>
        <w:rPr>
          <w:rFonts w:ascii="Times New Roman" w:hAnsi="Times New Roman" w:cs="Times New Roman"/>
          <w:sz w:val="24"/>
          <w:szCs w:val="24"/>
        </w:rPr>
      </w:pPr>
      <w:r w:rsidRPr="00274CF6">
        <w:rPr>
          <w:rFonts w:ascii="Times New Roman" w:hAnsi="Times New Roman" w:cs="Times New Roman"/>
          <w:sz w:val="24"/>
          <w:szCs w:val="24"/>
        </w:rPr>
        <w:t xml:space="preserve">34 CFR </w:t>
      </w:r>
      <w:r w:rsidR="00360B7A" w:rsidRPr="00274CF6">
        <w:rPr>
          <w:rFonts w:ascii="Times New Roman" w:hAnsi="Times New Roman" w:cs="Times New Roman"/>
          <w:sz w:val="24"/>
          <w:szCs w:val="24"/>
        </w:rPr>
        <w:t xml:space="preserve">§ </w:t>
      </w:r>
      <w:r w:rsidRPr="00274CF6">
        <w:rPr>
          <w:rFonts w:ascii="Times New Roman" w:hAnsi="Times New Roman" w:cs="Times New Roman"/>
          <w:sz w:val="24"/>
          <w:szCs w:val="24"/>
        </w:rPr>
        <w:t>300.114</w:t>
      </w:r>
      <w:r w:rsidR="00360B7A" w:rsidRPr="00274CF6">
        <w:rPr>
          <w:rFonts w:ascii="Times New Roman" w:hAnsi="Times New Roman" w:cs="Times New Roman"/>
          <w:sz w:val="24"/>
          <w:szCs w:val="24"/>
        </w:rPr>
        <w:t>.</w:t>
      </w:r>
    </w:p>
    <w:p w:rsidR="005140B0" w:rsidRPr="00274CF6" w:rsidRDefault="005140B0" w:rsidP="00274CF6">
      <w:pPr>
        <w:jc w:val="center"/>
        <w:rPr>
          <w:rFonts w:ascii="Times New Roman" w:hAnsi="Times New Roman" w:cs="Times New Roman"/>
          <w:b/>
          <w:sz w:val="24"/>
          <w:szCs w:val="24"/>
          <w:u w:val="single"/>
        </w:rPr>
      </w:pPr>
      <w:r w:rsidRPr="00274CF6">
        <w:rPr>
          <w:rFonts w:ascii="Times New Roman" w:hAnsi="Times New Roman" w:cs="Times New Roman"/>
          <w:b/>
          <w:sz w:val="24"/>
          <w:szCs w:val="24"/>
          <w:u w:val="single"/>
        </w:rPr>
        <w:t>Trending Position</w:t>
      </w:r>
    </w:p>
    <w:p w:rsidR="00360B7A" w:rsidRPr="00274CF6" w:rsidRDefault="00274CF6">
      <w:pPr>
        <w:rPr>
          <w:rFonts w:ascii="Times New Roman" w:hAnsi="Times New Roman" w:cs="Times New Roman"/>
          <w:sz w:val="24"/>
          <w:szCs w:val="24"/>
        </w:rPr>
      </w:pPr>
      <w:r w:rsidRPr="00274CF6">
        <w:rPr>
          <w:rFonts w:ascii="Times New Roman" w:hAnsi="Times New Roman" w:cs="Times New Roman"/>
          <w:sz w:val="24"/>
          <w:szCs w:val="24"/>
        </w:rPr>
        <w:t>Congress has made it an overall priority that a student with a disability is to be educat</w:t>
      </w:r>
      <w:r w:rsidR="00351169">
        <w:rPr>
          <w:rFonts w:ascii="Times New Roman" w:hAnsi="Times New Roman" w:cs="Times New Roman"/>
          <w:sz w:val="24"/>
          <w:szCs w:val="24"/>
        </w:rPr>
        <w:t>ed</w:t>
      </w:r>
      <w:r w:rsidRPr="00274CF6">
        <w:rPr>
          <w:rFonts w:ascii="Times New Roman" w:hAnsi="Times New Roman" w:cs="Times New Roman"/>
          <w:sz w:val="24"/>
          <w:szCs w:val="24"/>
        </w:rPr>
        <w:t xml:space="preserve"> in the regular classroom to the maximum extent possible. </w:t>
      </w:r>
    </w:p>
    <w:p w:rsidR="00360B7A" w:rsidRPr="00274CF6" w:rsidRDefault="00360B7A" w:rsidP="00274CF6">
      <w:pPr>
        <w:jc w:val="center"/>
        <w:rPr>
          <w:rFonts w:ascii="Times New Roman" w:hAnsi="Times New Roman" w:cs="Times New Roman"/>
          <w:b/>
          <w:sz w:val="24"/>
          <w:szCs w:val="24"/>
          <w:u w:val="single"/>
        </w:rPr>
      </w:pPr>
      <w:r w:rsidRPr="00274CF6">
        <w:rPr>
          <w:rFonts w:ascii="Times New Roman" w:hAnsi="Times New Roman" w:cs="Times New Roman"/>
          <w:b/>
          <w:sz w:val="24"/>
          <w:szCs w:val="24"/>
          <w:u w:val="single"/>
        </w:rPr>
        <w:t>Realistic Tension in the Act</w:t>
      </w:r>
    </w:p>
    <w:p w:rsidR="00360B7A" w:rsidRPr="00274CF6" w:rsidRDefault="00360B7A">
      <w:pPr>
        <w:rPr>
          <w:rFonts w:ascii="Times New Roman" w:hAnsi="Times New Roman" w:cs="Times New Roman"/>
          <w:sz w:val="24"/>
          <w:szCs w:val="24"/>
        </w:rPr>
      </w:pPr>
      <w:r w:rsidRPr="00274CF6">
        <w:rPr>
          <w:rFonts w:ascii="Times New Roman" w:hAnsi="Times New Roman" w:cs="Times New Roman"/>
          <w:sz w:val="24"/>
          <w:szCs w:val="24"/>
        </w:rPr>
        <w:t xml:space="preserve">Courts have noted the delicate balancing act required by the IEP team with regard to Least Restrictive Environment. </w:t>
      </w:r>
    </w:p>
    <w:p w:rsidR="00274CF6" w:rsidRPr="00274CF6" w:rsidRDefault="00360B7A" w:rsidP="00274CF6">
      <w:pPr>
        <w:rPr>
          <w:rFonts w:ascii="Times New Roman" w:eastAsia="Times New Roman" w:hAnsi="Times New Roman" w:cs="Times New Roman"/>
          <w:sz w:val="24"/>
          <w:szCs w:val="24"/>
        </w:rPr>
      </w:pPr>
      <w:r w:rsidRPr="00274CF6">
        <w:rPr>
          <w:rFonts w:ascii="Times New Roman" w:hAnsi="Times New Roman" w:cs="Times New Roman"/>
          <w:sz w:val="24"/>
          <w:szCs w:val="24"/>
        </w:rPr>
        <w:t>Thus</w:t>
      </w:r>
      <w:r w:rsidR="00351169">
        <w:rPr>
          <w:rFonts w:ascii="Times New Roman" w:hAnsi="Times New Roman" w:cs="Times New Roman"/>
          <w:sz w:val="24"/>
          <w:szCs w:val="24"/>
        </w:rPr>
        <w:t>,</w:t>
      </w:r>
      <w:r w:rsidRPr="00274CF6">
        <w:rPr>
          <w:rFonts w:ascii="Times New Roman" w:hAnsi="Times New Roman" w:cs="Times New Roman"/>
          <w:sz w:val="24"/>
          <w:szCs w:val="24"/>
        </w:rPr>
        <w:t xml:space="preserve"> there is a tension within the Act between two goals: mainstreaming and meeting each child’s unique needs.  </w:t>
      </w:r>
      <w:r w:rsidR="00274CF6" w:rsidRPr="00274CF6">
        <w:rPr>
          <w:rFonts w:ascii="Times New Roman" w:eastAsia="Times New Roman" w:hAnsi="Times New Roman" w:cs="Times New Roman"/>
          <w:sz w:val="24"/>
          <w:szCs w:val="24"/>
          <w:u w:val="single"/>
        </w:rPr>
        <w:t>Greer By &amp; Through Greer v. Rome City Sch. Dist.</w:t>
      </w:r>
      <w:r w:rsidR="00274CF6" w:rsidRPr="00274CF6">
        <w:rPr>
          <w:rFonts w:ascii="Times New Roman" w:eastAsia="Times New Roman" w:hAnsi="Times New Roman" w:cs="Times New Roman"/>
          <w:sz w:val="24"/>
          <w:szCs w:val="24"/>
        </w:rPr>
        <w:t xml:space="preserve">, 950 F.2d 688, 691 (11th Cir. 1991) </w:t>
      </w:r>
      <w:r w:rsidR="00274CF6" w:rsidRPr="00274CF6">
        <w:rPr>
          <w:rFonts w:ascii="Times New Roman" w:eastAsia="Times New Roman" w:hAnsi="Times New Roman" w:cs="Times New Roman"/>
          <w:sz w:val="24"/>
          <w:szCs w:val="24"/>
          <w:u w:val="single"/>
        </w:rPr>
        <w:t>opinion withdrawn,</w:t>
      </w:r>
      <w:r w:rsidR="00274CF6" w:rsidRPr="00274CF6">
        <w:rPr>
          <w:rFonts w:ascii="Times New Roman" w:eastAsia="Times New Roman" w:hAnsi="Times New Roman" w:cs="Times New Roman"/>
          <w:sz w:val="24"/>
          <w:szCs w:val="24"/>
        </w:rPr>
        <w:t xml:space="preserve"> 956 F.2d 1025 (11th Cir. 1992) and </w:t>
      </w:r>
      <w:r w:rsidR="00274CF6" w:rsidRPr="00274CF6">
        <w:rPr>
          <w:rFonts w:ascii="Times New Roman" w:eastAsia="Times New Roman" w:hAnsi="Times New Roman" w:cs="Times New Roman"/>
          <w:sz w:val="24"/>
          <w:szCs w:val="24"/>
          <w:u w:val="single"/>
        </w:rPr>
        <w:t>opinion reinstated in part,</w:t>
      </w:r>
      <w:r w:rsidR="00274CF6" w:rsidRPr="00274CF6">
        <w:rPr>
          <w:rFonts w:ascii="Times New Roman" w:eastAsia="Times New Roman" w:hAnsi="Times New Roman" w:cs="Times New Roman"/>
          <w:sz w:val="24"/>
          <w:szCs w:val="24"/>
        </w:rPr>
        <w:t xml:space="preserve"> 967 F.2d 470 (11th Cir. 1992). </w:t>
      </w:r>
    </w:p>
    <w:p w:rsidR="00274CF6" w:rsidRPr="00274CF6" w:rsidRDefault="00274CF6" w:rsidP="00274CF6">
      <w:pPr>
        <w:rPr>
          <w:rFonts w:ascii="Times New Roman" w:eastAsia="Times New Roman" w:hAnsi="Times New Roman" w:cs="Times New Roman"/>
          <w:sz w:val="24"/>
          <w:szCs w:val="24"/>
        </w:rPr>
      </w:pPr>
      <w:r w:rsidRPr="00274CF6">
        <w:rPr>
          <w:rFonts w:ascii="Times New Roman" w:eastAsia="Times New Roman" w:hAnsi="Times New Roman" w:cs="Times New Roman"/>
          <w:sz w:val="24"/>
          <w:szCs w:val="24"/>
        </w:rPr>
        <w:t>“Regular classes, however, will not provide an education that accounts for each child's particular needs in every case. The nature or severity of some children's handicaps is such that only special education can address their needs. For these children, mainstreaming does not provide an education designed to meet their unique needs and, thus, does not provide a free appropriate public education.”</w:t>
      </w:r>
    </w:p>
    <w:p w:rsidR="00274CF6" w:rsidRPr="00274CF6" w:rsidRDefault="00274CF6" w:rsidP="00274CF6">
      <w:pPr>
        <w:rPr>
          <w:rFonts w:ascii="Times New Roman" w:eastAsia="Times New Roman" w:hAnsi="Times New Roman" w:cs="Times New Roman"/>
          <w:sz w:val="24"/>
          <w:szCs w:val="24"/>
        </w:rPr>
      </w:pPr>
      <w:r w:rsidRPr="00274CF6">
        <w:rPr>
          <w:rFonts w:ascii="Times New Roman" w:eastAsia="Times New Roman" w:hAnsi="Times New Roman" w:cs="Times New Roman"/>
          <w:sz w:val="24"/>
          <w:szCs w:val="24"/>
          <w:u w:val="single"/>
        </w:rPr>
        <w:t>Daniel R.R. v. State Bd. of Educ</w:t>
      </w:r>
      <w:r w:rsidRPr="00274CF6">
        <w:rPr>
          <w:rFonts w:ascii="Times New Roman" w:eastAsia="Times New Roman" w:hAnsi="Times New Roman" w:cs="Times New Roman"/>
          <w:sz w:val="24"/>
          <w:szCs w:val="24"/>
        </w:rPr>
        <w:t>., 874 F.2d 1036, 1044 (5th Cir. 1989)</w:t>
      </w:r>
    </w:p>
    <w:p w:rsidR="00360B7A" w:rsidRPr="00274CF6" w:rsidRDefault="00274CF6" w:rsidP="00274CF6">
      <w:pPr>
        <w:jc w:val="center"/>
        <w:rPr>
          <w:rFonts w:ascii="Times New Roman" w:hAnsi="Times New Roman" w:cs="Times New Roman"/>
          <w:b/>
          <w:sz w:val="24"/>
          <w:szCs w:val="24"/>
          <w:u w:val="single"/>
        </w:rPr>
      </w:pPr>
      <w:r w:rsidRPr="00274CF6">
        <w:rPr>
          <w:rFonts w:ascii="Times New Roman" w:hAnsi="Times New Roman" w:cs="Times New Roman"/>
          <w:b/>
          <w:sz w:val="24"/>
          <w:szCs w:val="24"/>
          <w:u w:val="single"/>
        </w:rPr>
        <w:t>Test</w:t>
      </w:r>
    </w:p>
    <w:p w:rsidR="00274CF6" w:rsidRPr="00274CF6" w:rsidRDefault="00274CF6" w:rsidP="00274CF6">
      <w:pPr>
        <w:pStyle w:val="ListParagraph"/>
        <w:numPr>
          <w:ilvl w:val="0"/>
          <w:numId w:val="3"/>
        </w:numPr>
        <w:rPr>
          <w:rFonts w:ascii="Times New Roman" w:hAnsi="Times New Roman" w:cs="Times New Roman"/>
          <w:sz w:val="24"/>
          <w:szCs w:val="24"/>
        </w:rPr>
      </w:pPr>
      <w:r w:rsidRPr="00274CF6">
        <w:rPr>
          <w:rFonts w:ascii="Times New Roman" w:hAnsi="Times New Roman" w:cs="Times New Roman"/>
          <w:sz w:val="24"/>
          <w:szCs w:val="24"/>
        </w:rPr>
        <w:t xml:space="preserve">Ask whether education in the regular classroom, with the use of supplemental aids and services, can be achieved satisfactorily. </w:t>
      </w:r>
    </w:p>
    <w:p w:rsidR="00274CF6" w:rsidRPr="00274CF6" w:rsidRDefault="00274CF6" w:rsidP="00274CF6">
      <w:pPr>
        <w:pStyle w:val="ListParagraph"/>
        <w:numPr>
          <w:ilvl w:val="0"/>
          <w:numId w:val="3"/>
        </w:numPr>
        <w:rPr>
          <w:rFonts w:ascii="Times New Roman" w:hAnsi="Times New Roman" w:cs="Times New Roman"/>
          <w:sz w:val="24"/>
          <w:szCs w:val="24"/>
        </w:rPr>
      </w:pPr>
      <w:r w:rsidRPr="00274CF6">
        <w:rPr>
          <w:rFonts w:ascii="Times New Roman" w:hAnsi="Times New Roman" w:cs="Times New Roman"/>
          <w:sz w:val="24"/>
          <w:szCs w:val="24"/>
        </w:rPr>
        <w:t>If it cannot and the school intends to provide special education or to remove the child from regular education, we ask whether the school has mainstreamed the child to the maximum extent appropriate.</w:t>
      </w:r>
    </w:p>
    <w:p w:rsidR="00274CF6" w:rsidRPr="00274CF6" w:rsidRDefault="00274CF6" w:rsidP="00274CF6">
      <w:pPr>
        <w:rPr>
          <w:rFonts w:ascii="Times New Roman" w:hAnsi="Times New Roman" w:cs="Times New Roman"/>
          <w:sz w:val="24"/>
          <w:szCs w:val="24"/>
        </w:rPr>
      </w:pPr>
      <w:r w:rsidRPr="00274CF6">
        <w:rPr>
          <w:rFonts w:ascii="Times New Roman" w:hAnsi="Times New Roman" w:cs="Times New Roman"/>
          <w:sz w:val="24"/>
          <w:szCs w:val="24"/>
          <w:u w:val="single"/>
        </w:rPr>
        <w:lastRenderedPageBreak/>
        <w:t>Greer By &amp; Through Greer v. Rome City Sch. Dist</w:t>
      </w:r>
      <w:r w:rsidRPr="00274CF6">
        <w:rPr>
          <w:rFonts w:ascii="Times New Roman" w:hAnsi="Times New Roman" w:cs="Times New Roman"/>
          <w:sz w:val="24"/>
          <w:szCs w:val="24"/>
        </w:rPr>
        <w:t xml:space="preserve">., 950 F.2d 688, 696 (11th Cir. 1991) </w:t>
      </w:r>
      <w:r w:rsidRPr="00274CF6">
        <w:rPr>
          <w:rFonts w:ascii="Times New Roman" w:hAnsi="Times New Roman" w:cs="Times New Roman"/>
          <w:sz w:val="24"/>
          <w:szCs w:val="24"/>
          <w:u w:val="single"/>
        </w:rPr>
        <w:t>opinion withdrawn</w:t>
      </w:r>
      <w:r w:rsidRPr="00274CF6">
        <w:rPr>
          <w:rFonts w:ascii="Times New Roman" w:hAnsi="Times New Roman" w:cs="Times New Roman"/>
          <w:sz w:val="24"/>
          <w:szCs w:val="24"/>
        </w:rPr>
        <w:t xml:space="preserve">, 956 F.2d 1025 (11th Cir. 1992) and </w:t>
      </w:r>
      <w:r w:rsidRPr="00274CF6">
        <w:rPr>
          <w:rFonts w:ascii="Times New Roman" w:hAnsi="Times New Roman" w:cs="Times New Roman"/>
          <w:sz w:val="24"/>
          <w:szCs w:val="24"/>
          <w:u w:val="single"/>
        </w:rPr>
        <w:t>opinion reinstated in part</w:t>
      </w:r>
      <w:r w:rsidRPr="00274CF6">
        <w:rPr>
          <w:rFonts w:ascii="Times New Roman" w:hAnsi="Times New Roman" w:cs="Times New Roman"/>
          <w:sz w:val="24"/>
          <w:szCs w:val="24"/>
        </w:rPr>
        <w:t xml:space="preserve">, 967 F.2d 470 (11th Cir. 1992)(citing </w:t>
      </w:r>
      <w:r w:rsidRPr="00274CF6">
        <w:rPr>
          <w:rFonts w:ascii="Times New Roman" w:hAnsi="Times New Roman" w:cs="Times New Roman"/>
          <w:sz w:val="24"/>
          <w:szCs w:val="24"/>
          <w:u w:val="single"/>
        </w:rPr>
        <w:t>Daniel R.R. v. State Board of Education</w:t>
      </w:r>
      <w:r w:rsidRPr="00274CF6">
        <w:rPr>
          <w:rFonts w:ascii="Times New Roman" w:hAnsi="Times New Roman" w:cs="Times New Roman"/>
          <w:sz w:val="24"/>
          <w:szCs w:val="24"/>
        </w:rPr>
        <w:t>, 874 F.2d 1036, 1049 (5th Cir.1989)).</w:t>
      </w:r>
    </w:p>
    <w:p w:rsidR="005140B0" w:rsidRPr="00274CF6" w:rsidRDefault="00274CF6" w:rsidP="00274CF6">
      <w:pPr>
        <w:jc w:val="center"/>
        <w:rPr>
          <w:rFonts w:ascii="Times New Roman" w:hAnsi="Times New Roman" w:cs="Times New Roman"/>
          <w:b/>
          <w:sz w:val="24"/>
          <w:szCs w:val="24"/>
          <w:u w:val="single"/>
        </w:rPr>
      </w:pPr>
      <w:r w:rsidRPr="00274CF6">
        <w:rPr>
          <w:rFonts w:ascii="Times New Roman" w:hAnsi="Times New Roman" w:cs="Times New Roman"/>
          <w:b/>
          <w:sz w:val="24"/>
          <w:szCs w:val="24"/>
          <w:u w:val="single"/>
        </w:rPr>
        <w:t>Required Continu</w:t>
      </w:r>
      <w:r w:rsidR="000603C1" w:rsidRPr="00274CF6">
        <w:rPr>
          <w:rFonts w:ascii="Times New Roman" w:hAnsi="Times New Roman" w:cs="Times New Roman"/>
          <w:b/>
          <w:sz w:val="24"/>
          <w:szCs w:val="24"/>
          <w:u w:val="single"/>
        </w:rPr>
        <w:t>um</w:t>
      </w:r>
    </w:p>
    <w:p w:rsidR="000603C1" w:rsidRPr="000603C1" w:rsidRDefault="000603C1" w:rsidP="000603C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03C1">
        <w:rPr>
          <w:rFonts w:ascii="Times New Roman" w:eastAsia="Times New Roman" w:hAnsi="Times New Roman" w:cs="Times New Roman"/>
          <w:sz w:val="24"/>
          <w:szCs w:val="24"/>
        </w:rPr>
        <w:t>The IDEA requires that a district develop a "continuum of alternative placements." A continuum of alternative placements is the range of potential placements in which a district can implement a student's IEP. The continuum begins with the regular classroom and continues to get more restrictive at each placement on the continuum.</w:t>
      </w:r>
      <w:r w:rsidR="00274CF6">
        <w:rPr>
          <w:rFonts w:ascii="Times New Roman" w:eastAsia="Times New Roman" w:hAnsi="Times New Roman" w:cs="Times New Roman"/>
          <w:sz w:val="24"/>
          <w:szCs w:val="24"/>
        </w:rPr>
        <w:t xml:space="preserve"> 34 CFR </w:t>
      </w:r>
      <w:r w:rsidR="00274CF6" w:rsidRPr="00274CF6">
        <w:rPr>
          <w:rFonts w:ascii="Times New Roman" w:hAnsi="Times New Roman" w:cs="Times New Roman"/>
          <w:sz w:val="24"/>
          <w:szCs w:val="24"/>
        </w:rPr>
        <w:t>§</w:t>
      </w:r>
      <w:r w:rsidR="00274CF6">
        <w:rPr>
          <w:rFonts w:ascii="Times New Roman" w:hAnsi="Times New Roman" w:cs="Times New Roman"/>
          <w:sz w:val="24"/>
          <w:szCs w:val="24"/>
        </w:rPr>
        <w:t xml:space="preserve"> 300.115(a)</w:t>
      </w:r>
      <w:r w:rsidRPr="000603C1">
        <w:rPr>
          <w:rFonts w:ascii="Times New Roman" w:eastAsia="Times New Roman" w:hAnsi="Times New Roman" w:cs="Times New Roman"/>
          <w:sz w:val="24"/>
          <w:szCs w:val="24"/>
        </w:rPr>
        <w:t>.</w:t>
      </w:r>
    </w:p>
    <w:p w:rsidR="000603C1" w:rsidRPr="000603C1" w:rsidRDefault="000603C1" w:rsidP="000603C1">
      <w:pPr>
        <w:numPr>
          <w:ilvl w:val="0"/>
          <w:numId w:val="1"/>
        </w:numPr>
        <w:shd w:val="clear" w:color="auto" w:fill="FFFFFF"/>
        <w:spacing w:before="100" w:beforeAutospacing="1" w:after="120" w:line="240" w:lineRule="auto"/>
        <w:rPr>
          <w:rFonts w:ascii="Times New Roman" w:eastAsia="Times New Roman" w:hAnsi="Times New Roman" w:cs="Times New Roman"/>
          <w:sz w:val="24"/>
          <w:szCs w:val="24"/>
        </w:rPr>
      </w:pPr>
      <w:r w:rsidRPr="000603C1">
        <w:rPr>
          <w:rFonts w:ascii="Times New Roman" w:eastAsia="Times New Roman" w:hAnsi="Times New Roman" w:cs="Times New Roman"/>
          <w:sz w:val="24"/>
          <w:szCs w:val="24"/>
        </w:rPr>
        <w:t>The IDEA requires that the continuum:</w:t>
      </w:r>
    </w:p>
    <w:p w:rsidR="000603C1" w:rsidRPr="000603C1" w:rsidRDefault="000603C1" w:rsidP="000603C1">
      <w:pPr>
        <w:numPr>
          <w:ilvl w:val="1"/>
          <w:numId w:val="1"/>
        </w:numPr>
        <w:shd w:val="clear" w:color="auto" w:fill="FFFFFF"/>
        <w:spacing w:before="100" w:beforeAutospacing="1" w:after="100" w:afterAutospacing="1" w:line="240" w:lineRule="auto"/>
        <w:ind w:left="1800"/>
        <w:rPr>
          <w:rFonts w:ascii="Times New Roman" w:eastAsia="Times New Roman" w:hAnsi="Times New Roman" w:cs="Times New Roman"/>
          <w:sz w:val="24"/>
          <w:szCs w:val="24"/>
        </w:rPr>
      </w:pPr>
      <w:r w:rsidRPr="000603C1">
        <w:rPr>
          <w:rFonts w:ascii="Times New Roman" w:eastAsia="Times New Roman" w:hAnsi="Times New Roman" w:cs="Times New Roman"/>
          <w:sz w:val="24"/>
          <w:szCs w:val="24"/>
        </w:rPr>
        <w:t>Include the alternative placements listed in the definition of special education under [</w:t>
      </w:r>
      <w:hyperlink r:id="rId6" w:history="1">
        <w:r w:rsidRPr="00274CF6">
          <w:rPr>
            <w:rFonts w:ascii="Times New Roman" w:eastAsia="Times New Roman" w:hAnsi="Times New Roman" w:cs="Times New Roman"/>
            <w:sz w:val="24"/>
            <w:szCs w:val="24"/>
          </w:rPr>
          <w:t>34 CFR</w:t>
        </w:r>
        <w:r w:rsidR="00274CF6" w:rsidRPr="00274CF6">
          <w:rPr>
            <w:rFonts w:ascii="Times New Roman" w:eastAsia="Times New Roman" w:hAnsi="Times New Roman" w:cs="Times New Roman"/>
            <w:sz w:val="24"/>
            <w:szCs w:val="24"/>
          </w:rPr>
          <w:t xml:space="preserve"> </w:t>
        </w:r>
        <w:r w:rsidR="00274CF6" w:rsidRPr="00274CF6">
          <w:rPr>
            <w:rFonts w:ascii="Times New Roman" w:hAnsi="Times New Roman" w:cs="Times New Roman"/>
            <w:sz w:val="24"/>
            <w:szCs w:val="24"/>
          </w:rPr>
          <w:t>§</w:t>
        </w:r>
        <w:r w:rsidRPr="00274CF6">
          <w:rPr>
            <w:rFonts w:ascii="Times New Roman" w:eastAsia="Times New Roman" w:hAnsi="Times New Roman" w:cs="Times New Roman"/>
            <w:sz w:val="24"/>
            <w:szCs w:val="24"/>
          </w:rPr>
          <w:t xml:space="preserve"> 300.39</w:t>
        </w:r>
      </w:hyperlink>
      <w:r w:rsidRPr="000603C1">
        <w:rPr>
          <w:rFonts w:ascii="Times New Roman" w:eastAsia="Times New Roman" w:hAnsi="Times New Roman" w:cs="Times New Roman"/>
          <w:sz w:val="24"/>
          <w:szCs w:val="24"/>
        </w:rPr>
        <w:t xml:space="preserve"> ] (instruction in regular classes, special classes, special schools, home instruction, and instruction in hospitals and institutions); and</w:t>
      </w:r>
    </w:p>
    <w:p w:rsidR="000603C1" w:rsidRPr="000603C1" w:rsidRDefault="000603C1" w:rsidP="000603C1">
      <w:pPr>
        <w:numPr>
          <w:ilvl w:val="1"/>
          <w:numId w:val="1"/>
        </w:numPr>
        <w:shd w:val="clear" w:color="auto" w:fill="FFFFFF"/>
        <w:spacing w:before="100" w:beforeAutospacing="1" w:after="100" w:afterAutospacing="1" w:line="240" w:lineRule="auto"/>
        <w:ind w:left="1800"/>
        <w:rPr>
          <w:rFonts w:ascii="Times New Roman" w:eastAsia="Times New Roman" w:hAnsi="Times New Roman" w:cs="Times New Roman"/>
          <w:sz w:val="24"/>
          <w:szCs w:val="24"/>
        </w:rPr>
      </w:pPr>
      <w:r w:rsidRPr="000603C1">
        <w:rPr>
          <w:rFonts w:ascii="Times New Roman" w:eastAsia="Times New Roman" w:hAnsi="Times New Roman" w:cs="Times New Roman"/>
          <w:sz w:val="24"/>
          <w:szCs w:val="24"/>
        </w:rPr>
        <w:t>Make provision for supplementary services (such as resource room or itinerant instruction) to be provided in conjunction with regular class placement.</w:t>
      </w:r>
    </w:p>
    <w:p w:rsidR="000603C1" w:rsidRPr="000603C1" w:rsidRDefault="00ED03A7" w:rsidP="000603C1">
      <w:pPr>
        <w:shd w:val="clear" w:color="auto" w:fill="FFFFFF"/>
        <w:spacing w:before="100" w:beforeAutospacing="1" w:after="120" w:line="240" w:lineRule="auto"/>
        <w:ind w:left="576"/>
        <w:rPr>
          <w:rFonts w:ascii="Times New Roman" w:eastAsia="Times New Roman" w:hAnsi="Times New Roman" w:cs="Times New Roman"/>
          <w:sz w:val="24"/>
          <w:szCs w:val="24"/>
        </w:rPr>
      </w:pPr>
      <w:hyperlink r:id="rId7" w:history="1">
        <w:r w:rsidR="000603C1" w:rsidRPr="00274CF6">
          <w:rPr>
            <w:rFonts w:ascii="Times New Roman" w:eastAsia="Times New Roman" w:hAnsi="Times New Roman" w:cs="Times New Roman"/>
            <w:sz w:val="24"/>
            <w:szCs w:val="24"/>
          </w:rPr>
          <w:t xml:space="preserve">34 CFR </w:t>
        </w:r>
        <w:r w:rsidR="00274CF6" w:rsidRPr="00274CF6">
          <w:rPr>
            <w:rFonts w:ascii="Times New Roman" w:hAnsi="Times New Roman" w:cs="Times New Roman"/>
            <w:sz w:val="24"/>
            <w:szCs w:val="24"/>
          </w:rPr>
          <w:t>§</w:t>
        </w:r>
        <w:r w:rsidR="000603C1" w:rsidRPr="00274CF6">
          <w:rPr>
            <w:rFonts w:ascii="Times New Roman" w:eastAsia="Times New Roman" w:hAnsi="Times New Roman" w:cs="Times New Roman"/>
            <w:sz w:val="24"/>
            <w:szCs w:val="24"/>
          </w:rPr>
          <w:t>300.115</w:t>
        </w:r>
      </w:hyperlink>
      <w:r w:rsidR="000603C1" w:rsidRPr="000603C1">
        <w:rPr>
          <w:rFonts w:ascii="Times New Roman" w:eastAsia="Times New Roman" w:hAnsi="Times New Roman" w:cs="Times New Roman"/>
          <w:sz w:val="24"/>
          <w:szCs w:val="24"/>
        </w:rPr>
        <w:t xml:space="preserve"> (b).</w:t>
      </w:r>
    </w:p>
    <w:p w:rsidR="000603C1" w:rsidRPr="00274CF6" w:rsidRDefault="000603C1">
      <w:pPr>
        <w:rPr>
          <w:rFonts w:ascii="Times New Roman" w:hAnsi="Times New Roman" w:cs="Times New Roman"/>
          <w:sz w:val="24"/>
          <w:szCs w:val="24"/>
        </w:rPr>
      </w:pPr>
    </w:p>
    <w:sectPr w:rsidR="000603C1" w:rsidRPr="00274CF6" w:rsidSect="0035116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0AC8"/>
    <w:multiLevelType w:val="hybridMultilevel"/>
    <w:tmpl w:val="3AC89DD0"/>
    <w:lvl w:ilvl="0" w:tplc="07FCAADC">
      <w:start w:val="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AC11EF"/>
    <w:multiLevelType w:val="multilevel"/>
    <w:tmpl w:val="865E5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3802FB"/>
    <w:multiLevelType w:val="hybridMultilevel"/>
    <w:tmpl w:val="3DA8C0EC"/>
    <w:lvl w:ilvl="0" w:tplc="C53655B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B3011"/>
    <w:multiLevelType w:val="hybridMultilevel"/>
    <w:tmpl w:val="AF6C7992"/>
    <w:lvl w:ilvl="0" w:tplc="2996DA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B0"/>
    <w:rsid w:val="00036CBB"/>
    <w:rsid w:val="000603C1"/>
    <w:rsid w:val="00274CF6"/>
    <w:rsid w:val="002E591E"/>
    <w:rsid w:val="00351169"/>
    <w:rsid w:val="00360B7A"/>
    <w:rsid w:val="004B62A2"/>
    <w:rsid w:val="005140B0"/>
    <w:rsid w:val="005674D7"/>
    <w:rsid w:val="0059032A"/>
    <w:rsid w:val="005D1719"/>
    <w:rsid w:val="007414EE"/>
    <w:rsid w:val="00854551"/>
    <w:rsid w:val="008A244C"/>
    <w:rsid w:val="008C5C24"/>
    <w:rsid w:val="00916181"/>
    <w:rsid w:val="00995E3A"/>
    <w:rsid w:val="009A47A5"/>
    <w:rsid w:val="00B95F10"/>
    <w:rsid w:val="00DA3242"/>
    <w:rsid w:val="00ED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7A"/>
    <w:rPr>
      <w:rFonts w:ascii="Tahoma" w:hAnsi="Tahoma" w:cs="Tahoma"/>
      <w:sz w:val="16"/>
      <w:szCs w:val="16"/>
    </w:rPr>
  </w:style>
  <w:style w:type="character" w:styleId="Hyperlink">
    <w:name w:val="Hyperlink"/>
    <w:basedOn w:val="DefaultParagraphFont"/>
    <w:uiPriority w:val="99"/>
    <w:semiHidden/>
    <w:unhideWhenUsed/>
    <w:rsid w:val="000603C1"/>
    <w:rPr>
      <w:color w:val="0000FF"/>
      <w:u w:val="single"/>
    </w:rPr>
  </w:style>
  <w:style w:type="paragraph" w:styleId="NormalWeb">
    <w:name w:val="Normal (Web)"/>
    <w:basedOn w:val="Normal"/>
    <w:uiPriority w:val="99"/>
    <w:semiHidden/>
    <w:unhideWhenUsed/>
    <w:rsid w:val="000603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7A"/>
    <w:rPr>
      <w:rFonts w:ascii="Tahoma" w:hAnsi="Tahoma" w:cs="Tahoma"/>
      <w:sz w:val="16"/>
      <w:szCs w:val="16"/>
    </w:rPr>
  </w:style>
  <w:style w:type="character" w:styleId="Hyperlink">
    <w:name w:val="Hyperlink"/>
    <w:basedOn w:val="DefaultParagraphFont"/>
    <w:uiPriority w:val="99"/>
    <w:semiHidden/>
    <w:unhideWhenUsed/>
    <w:rsid w:val="000603C1"/>
    <w:rPr>
      <w:color w:val="0000FF"/>
      <w:u w:val="single"/>
    </w:rPr>
  </w:style>
  <w:style w:type="paragraph" w:styleId="NormalWeb">
    <w:name w:val="Normal (Web)"/>
    <w:basedOn w:val="Normal"/>
    <w:uiPriority w:val="99"/>
    <w:semiHidden/>
    <w:unhideWhenUsed/>
    <w:rsid w:val="000603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3260">
      <w:bodyDiv w:val="1"/>
      <w:marLeft w:val="0"/>
      <w:marRight w:val="0"/>
      <w:marTop w:val="100"/>
      <w:marBottom w:val="100"/>
      <w:divBdr>
        <w:top w:val="none" w:sz="0" w:space="0" w:color="auto"/>
        <w:left w:val="none" w:sz="0" w:space="0" w:color="auto"/>
        <w:bottom w:val="none" w:sz="0" w:space="0" w:color="auto"/>
        <w:right w:val="none" w:sz="0" w:space="0" w:color="auto"/>
      </w:divBdr>
      <w:divsChild>
        <w:div w:id="2039038455">
          <w:marLeft w:val="0"/>
          <w:marRight w:val="0"/>
          <w:marTop w:val="322"/>
          <w:marBottom w:val="0"/>
          <w:divBdr>
            <w:top w:val="none" w:sz="0" w:space="0" w:color="auto"/>
            <w:left w:val="none" w:sz="0" w:space="0" w:color="auto"/>
            <w:bottom w:val="none" w:sz="0" w:space="0" w:color="auto"/>
            <w:right w:val="none" w:sz="0" w:space="0" w:color="auto"/>
          </w:divBdr>
          <w:divsChild>
            <w:div w:id="1865366535">
              <w:marLeft w:val="0"/>
              <w:marRight w:val="0"/>
              <w:marTop w:val="100"/>
              <w:marBottom w:val="100"/>
              <w:divBdr>
                <w:top w:val="none" w:sz="0" w:space="0" w:color="auto"/>
                <w:left w:val="none" w:sz="0" w:space="0" w:color="auto"/>
                <w:bottom w:val="none" w:sz="0" w:space="0" w:color="auto"/>
                <w:right w:val="none" w:sz="0" w:space="0" w:color="auto"/>
              </w:divBdr>
              <w:divsChild>
                <w:div w:id="1662392845">
                  <w:marLeft w:val="0"/>
                  <w:marRight w:val="0"/>
                  <w:marTop w:val="0"/>
                  <w:marBottom w:val="0"/>
                  <w:divBdr>
                    <w:top w:val="none" w:sz="0" w:space="8" w:color="auto"/>
                    <w:left w:val="none" w:sz="0" w:space="0" w:color="auto"/>
                    <w:bottom w:val="none" w:sz="0" w:space="8" w:color="auto"/>
                    <w:right w:val="none" w:sz="0" w:space="0" w:color="auto"/>
                  </w:divBdr>
                  <w:divsChild>
                    <w:div w:id="2094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ecialedconnection.com/LrpSecStoryTool/servlet/GetReg?cite=34+CFR+300.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edconnection.com/LrpSecStoryTool/servlet/GetReg?cite=34+CFR+300.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Handout for the Least Restrictive Environment Presentation (H260823).DOCX</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for the Least Restrictive Environment Presentation (H260823).DOCX</dc:title>
  <dc:creator>Reagan Sauls</dc:creator>
  <cp:lastModifiedBy>Missy's PC</cp:lastModifiedBy>
  <cp:revision>2</cp:revision>
  <dcterms:created xsi:type="dcterms:W3CDTF">2015-11-06T02:35:00Z</dcterms:created>
  <dcterms:modified xsi:type="dcterms:W3CDTF">2015-11-06T02:35:00Z</dcterms:modified>
</cp:coreProperties>
</file>